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FDC2D" w14:textId="77777777" w:rsidR="00DF1557" w:rsidRPr="00CA2483" w:rsidRDefault="00DF1557" w:rsidP="00DF1557">
      <w:pPr>
        <w:tabs>
          <w:tab w:val="left" w:pos="2433"/>
        </w:tabs>
        <w:bidi/>
        <w:spacing w:before="120" w:after="120"/>
        <w:ind w:left="540" w:hanging="540"/>
        <w:jc w:val="center"/>
        <w:rPr>
          <w:rStyle w:val="Strong"/>
          <w:rFonts w:cs="Simplified Arabic"/>
          <w:sz w:val="28"/>
          <w:szCs w:val="28"/>
          <w:rtl/>
        </w:rPr>
      </w:pPr>
      <w:r w:rsidRPr="00CA2483">
        <w:rPr>
          <w:rStyle w:val="Strong"/>
          <w:rFonts w:cs="Simplified Arabic" w:hint="cs"/>
          <w:sz w:val="28"/>
          <w:szCs w:val="28"/>
          <w:rtl/>
        </w:rPr>
        <w:t>بطاقة تعريف مختصرة</w:t>
      </w:r>
    </w:p>
    <w:p w14:paraId="059E883D" w14:textId="77777777" w:rsidR="00A730A2" w:rsidRPr="00CA2483" w:rsidRDefault="00FE32C6" w:rsidP="00FE32C6">
      <w:pPr>
        <w:tabs>
          <w:tab w:val="left" w:pos="2433"/>
        </w:tabs>
        <w:bidi/>
        <w:spacing w:before="120" w:after="120"/>
        <w:ind w:left="540" w:hanging="540"/>
        <w:jc w:val="center"/>
        <w:rPr>
          <w:rStyle w:val="Strong"/>
          <w:rFonts w:cs="Simplified Arabic"/>
          <w:sz w:val="32"/>
          <w:szCs w:val="32"/>
          <w:rtl/>
          <w:lang w:bidi="ar-LB"/>
        </w:rPr>
      </w:pPr>
      <w:r w:rsidRPr="00CA2483">
        <w:rPr>
          <w:rStyle w:val="Strong"/>
          <w:rFonts w:cs="Simplified Arabic" w:hint="cs"/>
          <w:sz w:val="32"/>
          <w:szCs w:val="32"/>
          <w:rtl/>
        </w:rPr>
        <w:t>د. محسن محمد صالح</w:t>
      </w:r>
    </w:p>
    <w:p w14:paraId="2DDD3021" w14:textId="77777777" w:rsidR="005C04A6" w:rsidRPr="00CA2483" w:rsidRDefault="00B610F7" w:rsidP="00C84845">
      <w:pPr>
        <w:tabs>
          <w:tab w:val="left" w:pos="33"/>
          <w:tab w:val="left" w:pos="2433"/>
        </w:tabs>
        <w:bidi/>
        <w:spacing w:before="120" w:after="120"/>
        <w:ind w:left="34"/>
        <w:jc w:val="lowKashida"/>
        <w:rPr>
          <w:rStyle w:val="Strong"/>
          <w:rFonts w:cs="Simplified Arabic"/>
          <w:b w:val="0"/>
          <w:bCs w:val="0"/>
          <w:sz w:val="28"/>
          <w:szCs w:val="28"/>
          <w:rtl/>
        </w:rPr>
      </w:pPr>
      <w:r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حاصل على شهادة الدكتوراه في التاريخ الحديث والمعاصر سنة </w:t>
      </w:r>
      <w:r w:rsidR="005C04A6" w:rsidRPr="00CA2483">
        <w:rPr>
          <w:rStyle w:val="Strong"/>
          <w:rFonts w:cs="Simplified Arabic"/>
          <w:b w:val="0"/>
          <w:bCs w:val="0"/>
          <w:sz w:val="28"/>
          <w:szCs w:val="28"/>
        </w:rPr>
        <w:t>199</w:t>
      </w:r>
      <w:r w:rsidR="00D30B0D" w:rsidRPr="00CA2483">
        <w:rPr>
          <w:rStyle w:val="Strong"/>
          <w:rFonts w:cs="Simplified Arabic"/>
          <w:b w:val="0"/>
          <w:bCs w:val="0"/>
          <w:sz w:val="28"/>
          <w:szCs w:val="28"/>
        </w:rPr>
        <w:t>3</w:t>
      </w:r>
      <w:r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.</w:t>
      </w:r>
      <w:r w:rsidR="006F2AB9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أستاذ مشارك في الدراسات الفلسطينية، والمدير العام لمركز الزيتونة للدراسات والاستشارات</w:t>
      </w:r>
      <w:r w:rsidR="006F2AB9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منذ </w:t>
      </w:r>
      <w:r w:rsidR="005C04A6" w:rsidRPr="00CA2483">
        <w:rPr>
          <w:rStyle w:val="Strong"/>
          <w:rFonts w:cs="Simplified Arabic"/>
          <w:b w:val="0"/>
          <w:bCs w:val="0"/>
          <w:sz w:val="28"/>
          <w:szCs w:val="28"/>
        </w:rPr>
        <w:t>2004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، </w:t>
      </w:r>
      <w:r w:rsidR="00D30B0D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و</w:t>
      </w:r>
      <w:r w:rsidR="0006154C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هو </w:t>
      </w:r>
      <w:r w:rsidR="00D30B0D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مُحرِّر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التقرير الاستراتيجي الفلسطيني السنوي</w:t>
      </w:r>
      <w:r w:rsidR="0006154C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الذي صدرت منه </w:t>
      </w:r>
      <w:r w:rsidR="00C84845" w:rsidRPr="00CA2483">
        <w:rPr>
          <w:rStyle w:val="Strong"/>
          <w:rFonts w:cs="Simplified Arabic" w:hint="cs"/>
          <w:b w:val="0"/>
          <w:bCs w:val="0"/>
          <w:sz w:val="28"/>
          <w:szCs w:val="28"/>
          <w:rtl/>
          <w:lang w:bidi="ar-LB"/>
        </w:rPr>
        <w:t>تسعة</w:t>
      </w:r>
      <w:r w:rsidR="0006154C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مجلدات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، </w:t>
      </w:r>
      <w:r w:rsidR="0006154C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وهو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رئيس قسم التاريخ والحضارة في الجامعة الإسلامية العالمية بماليزيا سابقاً، والمدير التنفيذي لمركز دراسات الشرق الأوسط بعمّان سابقاً. الفائز الأول بجائزة بيت المقدس للعلماء المسلمين الشبان سنة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</w:rPr>
        <w:t>1997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، وجائزة الامتياز في التدريس من الجامعة الإسلامية العالمية بماليزيا سنة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</w:rPr>
        <w:t>2002</w:t>
      </w:r>
      <w:r w:rsidR="006F2AB9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.</w:t>
      </w:r>
    </w:p>
    <w:p w14:paraId="198C1CA9" w14:textId="77777777" w:rsidR="00A730A2" w:rsidRDefault="006F2AB9" w:rsidP="009F602A">
      <w:pPr>
        <w:tabs>
          <w:tab w:val="left" w:pos="33"/>
          <w:tab w:val="left" w:pos="2433"/>
        </w:tabs>
        <w:bidi/>
        <w:spacing w:before="120" w:after="120"/>
        <w:ind w:left="34"/>
        <w:jc w:val="both"/>
        <w:rPr>
          <w:rFonts w:cs="Simplified Arabic"/>
          <w:sz w:val="28"/>
          <w:szCs w:val="28"/>
          <w:rtl/>
        </w:rPr>
      </w:pPr>
      <w:r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صدر له</w:t>
      </w:r>
      <w:r w:rsidR="005343EB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</w:t>
      </w:r>
      <w:r w:rsidRPr="00CA2483">
        <w:rPr>
          <w:rStyle w:val="Strong"/>
          <w:rFonts w:cs="Simplified Arabic"/>
          <w:b w:val="0"/>
          <w:bCs w:val="0"/>
          <w:sz w:val="28"/>
          <w:szCs w:val="28"/>
        </w:rPr>
        <w:t>1</w:t>
      </w:r>
      <w:r w:rsidR="00C84845" w:rsidRPr="00CA2483">
        <w:rPr>
          <w:rStyle w:val="Strong"/>
          <w:rFonts w:cs="Simplified Arabic"/>
          <w:b w:val="0"/>
          <w:bCs w:val="0"/>
          <w:sz w:val="28"/>
          <w:szCs w:val="28"/>
        </w:rPr>
        <w:t>3</w:t>
      </w:r>
      <w:r w:rsidR="005343EB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كت</w:t>
      </w:r>
      <w:r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ا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ب</w:t>
      </w:r>
      <w:r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اً</w:t>
      </w:r>
      <w:r w:rsidR="00A730A2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أهمها</w:t>
      </w:r>
      <w:r w:rsidR="00A730A2" w:rsidRPr="00CA2483">
        <w:rPr>
          <w:rStyle w:val="Strong"/>
          <w:rFonts w:cs="Simplified Arabic" w:hint="cs"/>
          <w:sz w:val="28"/>
          <w:szCs w:val="28"/>
          <w:rtl/>
        </w:rPr>
        <w:t xml:space="preserve">: </w:t>
      </w:r>
      <w:r w:rsidR="00A730A2" w:rsidRPr="00CA2483">
        <w:rPr>
          <w:rFonts w:cs="Simplified Arabic"/>
          <w:sz w:val="28"/>
          <w:szCs w:val="28"/>
          <w:rtl/>
        </w:rPr>
        <w:t xml:space="preserve">التيار الإسلامي في فلسطين </w:t>
      </w:r>
      <w:r w:rsidR="00A730A2" w:rsidRPr="00CA2483">
        <w:rPr>
          <w:rFonts w:cs="Simplified Arabic"/>
          <w:sz w:val="28"/>
          <w:szCs w:val="28"/>
        </w:rPr>
        <w:t>1917</w:t>
      </w:r>
      <w:r w:rsidR="00A730A2" w:rsidRPr="00CA2483">
        <w:rPr>
          <w:rFonts w:cs="Simplified Arabic"/>
          <w:sz w:val="28"/>
          <w:szCs w:val="28"/>
          <w:rtl/>
        </w:rPr>
        <w:t>-</w:t>
      </w:r>
      <w:r w:rsidR="00A730A2" w:rsidRPr="00CA2483">
        <w:rPr>
          <w:rFonts w:cs="Simplified Arabic"/>
          <w:sz w:val="28"/>
          <w:szCs w:val="28"/>
        </w:rPr>
        <w:t>1948</w:t>
      </w:r>
      <w:r w:rsidR="00A730A2" w:rsidRPr="00CA2483">
        <w:rPr>
          <w:rFonts w:cs="Simplified Arabic"/>
          <w:sz w:val="28"/>
          <w:szCs w:val="28"/>
          <w:rtl/>
        </w:rPr>
        <w:t>،</w:t>
      </w:r>
      <w:r w:rsidR="00A730A2" w:rsidRPr="00CA2483">
        <w:rPr>
          <w:rFonts w:cs="Simplified Arabic" w:hint="cs"/>
          <w:sz w:val="28"/>
          <w:szCs w:val="28"/>
          <w:rtl/>
        </w:rPr>
        <w:t xml:space="preserve"> و</w:t>
      </w:r>
      <w:r w:rsidR="00A730A2" w:rsidRPr="00CA2483">
        <w:rPr>
          <w:rFonts w:cs="Simplified Arabic"/>
          <w:sz w:val="28"/>
          <w:szCs w:val="28"/>
          <w:rtl/>
        </w:rPr>
        <w:t>الطريق إلى القدس،</w:t>
      </w:r>
      <w:r w:rsidR="00A730A2" w:rsidRPr="00CA2483">
        <w:rPr>
          <w:rFonts w:cs="Simplified Arabic" w:hint="cs"/>
          <w:sz w:val="28"/>
          <w:szCs w:val="28"/>
          <w:rtl/>
        </w:rPr>
        <w:t xml:space="preserve"> و</w:t>
      </w:r>
      <w:r w:rsidR="00A730A2" w:rsidRPr="00CA2483">
        <w:rPr>
          <w:rFonts w:cs="Simplified Arabic"/>
          <w:sz w:val="28"/>
          <w:szCs w:val="28"/>
          <w:rtl/>
        </w:rPr>
        <w:t xml:space="preserve">القوات العسكرية والشرطة في فلسطين </w:t>
      </w:r>
      <w:r w:rsidR="00A730A2" w:rsidRPr="00CA2483">
        <w:rPr>
          <w:rFonts w:cs="Simplified Arabic"/>
          <w:sz w:val="28"/>
          <w:szCs w:val="28"/>
        </w:rPr>
        <w:t>1917</w:t>
      </w:r>
      <w:r w:rsidR="00A730A2" w:rsidRPr="00CA2483">
        <w:rPr>
          <w:rFonts w:cs="Simplified Arabic"/>
          <w:sz w:val="28"/>
          <w:szCs w:val="28"/>
          <w:rtl/>
        </w:rPr>
        <w:t>-</w:t>
      </w:r>
      <w:r w:rsidR="00A730A2" w:rsidRPr="00CA2483">
        <w:rPr>
          <w:rFonts w:cs="Simplified Arabic"/>
          <w:sz w:val="28"/>
          <w:szCs w:val="28"/>
        </w:rPr>
        <w:t>1939</w:t>
      </w:r>
      <w:r w:rsidR="00A730A2" w:rsidRPr="00CA2483">
        <w:rPr>
          <w:rFonts w:cs="Simplified Arabic"/>
          <w:sz w:val="28"/>
          <w:szCs w:val="28"/>
          <w:rtl/>
        </w:rPr>
        <w:t>،</w:t>
      </w:r>
      <w:r w:rsidR="00A730A2" w:rsidRPr="00CA2483">
        <w:rPr>
          <w:rFonts w:cs="Simplified Arabic" w:hint="cs"/>
          <w:sz w:val="28"/>
          <w:szCs w:val="28"/>
          <w:rtl/>
        </w:rPr>
        <w:t xml:space="preserve"> ودراسات منهجية في القضية الفلسطينية، والقضية الفلسطينية: خلفياتها</w:t>
      </w:r>
      <w:r w:rsidRPr="00CA2483">
        <w:rPr>
          <w:rFonts w:cs="Simplified Arabic" w:hint="cs"/>
          <w:sz w:val="28"/>
          <w:szCs w:val="28"/>
          <w:rtl/>
        </w:rPr>
        <w:t xml:space="preserve"> التاريخية</w:t>
      </w:r>
      <w:r w:rsidR="00A730A2" w:rsidRPr="00CA2483">
        <w:rPr>
          <w:rFonts w:cs="Simplified Arabic" w:hint="cs"/>
          <w:sz w:val="28"/>
          <w:szCs w:val="28"/>
          <w:rtl/>
        </w:rPr>
        <w:t xml:space="preserve"> وتطوراتها</w:t>
      </w:r>
      <w:r w:rsidRPr="00CA2483">
        <w:rPr>
          <w:rFonts w:cs="Simplified Arabic" w:hint="cs"/>
          <w:sz w:val="28"/>
          <w:szCs w:val="28"/>
          <w:rtl/>
        </w:rPr>
        <w:t xml:space="preserve"> المعاصرة</w:t>
      </w:r>
      <w:r w:rsidR="00A730A2" w:rsidRPr="00CA2483">
        <w:rPr>
          <w:rFonts w:cs="Simplified Arabic" w:hint="cs"/>
          <w:sz w:val="28"/>
          <w:szCs w:val="28"/>
          <w:rtl/>
        </w:rPr>
        <w:t>،</w:t>
      </w:r>
      <w:r w:rsidR="00430873" w:rsidRPr="00CA2483">
        <w:rPr>
          <w:rFonts w:cs="Simplified Arabic" w:hint="cs"/>
          <w:sz w:val="28"/>
          <w:szCs w:val="28"/>
          <w:rtl/>
        </w:rPr>
        <w:t xml:space="preserve"> والمسار التائه للدولة الفلسطينية</w:t>
      </w:r>
      <w:r w:rsidR="00A730A2" w:rsidRPr="00CA2483">
        <w:rPr>
          <w:rFonts w:cs="Simplified Arabic" w:hint="cs"/>
          <w:sz w:val="28"/>
          <w:szCs w:val="28"/>
          <w:rtl/>
        </w:rPr>
        <w:t>.</w:t>
      </w:r>
      <w:r w:rsidR="00B51A2C" w:rsidRPr="00CA2483">
        <w:rPr>
          <w:rFonts w:cs="Simplified Arabic"/>
          <w:sz w:val="28"/>
          <w:szCs w:val="28"/>
        </w:rPr>
        <w:t xml:space="preserve"> </w:t>
      </w:r>
      <w:r w:rsidR="00A730A2" w:rsidRPr="00CA2483">
        <w:rPr>
          <w:rFonts w:cs="Simplified Arabic" w:hint="cs"/>
          <w:sz w:val="28"/>
          <w:szCs w:val="28"/>
          <w:rtl/>
        </w:rPr>
        <w:t>قام ب</w:t>
      </w:r>
      <w:r w:rsidR="00C84845" w:rsidRPr="00CA2483">
        <w:rPr>
          <w:rFonts w:cs="Simplified Arabic" w:hint="cs"/>
          <w:sz w:val="28"/>
          <w:szCs w:val="28"/>
          <w:rtl/>
          <w:lang w:bidi="ar-LB"/>
        </w:rPr>
        <w:t>ال</w:t>
      </w:r>
      <w:r w:rsidR="00A730A2" w:rsidRPr="00CA2483">
        <w:rPr>
          <w:rFonts w:cs="Simplified Arabic" w:hint="cs"/>
          <w:sz w:val="28"/>
          <w:szCs w:val="28"/>
          <w:rtl/>
        </w:rPr>
        <w:t>تحرير</w:t>
      </w:r>
      <w:r w:rsidR="00C84845" w:rsidRPr="00CA2483">
        <w:rPr>
          <w:rFonts w:cs="Simplified Arabic" w:hint="cs"/>
          <w:sz w:val="28"/>
          <w:szCs w:val="28"/>
          <w:rtl/>
        </w:rPr>
        <w:t xml:space="preserve"> العلمي</w:t>
      </w:r>
      <w:r w:rsidR="00A730A2" w:rsidRPr="00CA2483">
        <w:rPr>
          <w:rFonts w:cs="Simplified Arabic" w:hint="cs"/>
          <w:sz w:val="28"/>
          <w:szCs w:val="28"/>
          <w:rtl/>
        </w:rPr>
        <w:t xml:space="preserve"> </w:t>
      </w:r>
      <w:r w:rsidR="00C84845" w:rsidRPr="00CA2483">
        <w:rPr>
          <w:rFonts w:cs="Simplified Arabic" w:hint="cs"/>
          <w:sz w:val="28"/>
          <w:szCs w:val="28"/>
          <w:rtl/>
        </w:rPr>
        <w:t>ل</w:t>
      </w:r>
      <w:r w:rsidR="00A730A2" w:rsidRPr="00CA2483">
        <w:rPr>
          <w:rFonts w:cs="Simplified Arabic" w:hint="cs"/>
          <w:sz w:val="28"/>
          <w:szCs w:val="28"/>
          <w:rtl/>
        </w:rPr>
        <w:t xml:space="preserve">أكثر من </w:t>
      </w:r>
      <w:r w:rsidR="009F602A" w:rsidRPr="00CA2483">
        <w:rPr>
          <w:rFonts w:cs="Simplified Arabic"/>
          <w:sz w:val="28"/>
          <w:szCs w:val="28"/>
        </w:rPr>
        <w:t>80</w:t>
      </w:r>
      <w:r w:rsidR="00A730A2" w:rsidRPr="00CA2483">
        <w:rPr>
          <w:rFonts w:cs="Simplified Arabic" w:hint="cs"/>
          <w:sz w:val="28"/>
          <w:szCs w:val="28"/>
          <w:rtl/>
        </w:rPr>
        <w:t xml:space="preserve"> كتاباً، أبرزها: </w:t>
      </w:r>
      <w:r w:rsidR="00C84845" w:rsidRPr="00CA2483">
        <w:rPr>
          <w:rFonts w:cs="Simplified Arabic" w:hint="cs"/>
          <w:sz w:val="28"/>
          <w:szCs w:val="28"/>
          <w:rtl/>
        </w:rPr>
        <w:t>الوثائق الفلسطينية (</w:t>
      </w:r>
      <w:r w:rsidR="00C168A2" w:rsidRPr="00CA2483">
        <w:rPr>
          <w:rFonts w:cs="Simplified Arabic"/>
          <w:sz w:val="28"/>
          <w:szCs w:val="28"/>
        </w:rPr>
        <w:t>6</w:t>
      </w:r>
      <w:r w:rsidR="00C84845" w:rsidRPr="00CA2483">
        <w:rPr>
          <w:rFonts w:cs="Simplified Arabic" w:hint="cs"/>
          <w:sz w:val="28"/>
          <w:szCs w:val="28"/>
          <w:rtl/>
          <w:lang w:bidi="ar-LB"/>
        </w:rPr>
        <w:t xml:space="preserve"> مجلدات)</w:t>
      </w:r>
      <w:r w:rsidR="00C84845" w:rsidRPr="00CA2483">
        <w:rPr>
          <w:rFonts w:cs="Simplified Arabic" w:hint="cs"/>
          <w:sz w:val="28"/>
          <w:szCs w:val="28"/>
          <w:rtl/>
        </w:rPr>
        <w:t xml:space="preserve">، </w:t>
      </w:r>
      <w:r w:rsidR="00C168A2" w:rsidRPr="00CA2483">
        <w:rPr>
          <w:rFonts w:cs="Simplified Arabic" w:hint="cs"/>
          <w:sz w:val="28"/>
          <w:szCs w:val="28"/>
          <w:rtl/>
          <w:lang w:bidi="ar-LB"/>
        </w:rPr>
        <w:t>اليوميات الفلسطينية (</w:t>
      </w:r>
      <w:r w:rsidR="00C168A2" w:rsidRPr="00CA2483">
        <w:rPr>
          <w:rFonts w:cs="Simplified Arabic"/>
          <w:sz w:val="28"/>
          <w:szCs w:val="28"/>
          <w:lang w:bidi="ar-LB"/>
        </w:rPr>
        <w:t>3</w:t>
      </w:r>
      <w:r w:rsidR="00C168A2" w:rsidRPr="00CA2483">
        <w:rPr>
          <w:rFonts w:cs="Simplified Arabic" w:hint="cs"/>
          <w:sz w:val="28"/>
          <w:szCs w:val="28"/>
          <w:rtl/>
          <w:lang w:bidi="ar-LB"/>
        </w:rPr>
        <w:t xml:space="preserve"> مجلدات)، </w:t>
      </w:r>
      <w:r w:rsidR="00C168A2" w:rsidRPr="00CA2483">
        <w:rPr>
          <w:rFonts w:cs="Simplified Arabic"/>
          <w:sz w:val="28"/>
          <w:szCs w:val="28"/>
          <w:rtl/>
        </w:rPr>
        <w:t>حركة المقاومة الإسلامية (حماس): دراسات في الفكر والتجربة</w:t>
      </w:r>
      <w:r w:rsidR="00C168A2" w:rsidRPr="00CA2483">
        <w:rPr>
          <w:rFonts w:cs="Simplified Arabic" w:hint="cs"/>
          <w:sz w:val="28"/>
          <w:szCs w:val="28"/>
          <w:rtl/>
        </w:rPr>
        <w:t xml:space="preserve">، </w:t>
      </w:r>
      <w:r w:rsidR="00A730A2" w:rsidRPr="00CA2483">
        <w:rPr>
          <w:rFonts w:cs="Simplified Arabic" w:hint="cs"/>
          <w:sz w:val="28"/>
          <w:szCs w:val="28"/>
          <w:rtl/>
        </w:rPr>
        <w:t>ومنظمة التحرير الفلسطينية: تقييم التجربة وإعادة البناء، وأوضاع اللاجئين الفلسطينيين في لبنان، ودراسات في التراث الثقافي لمدينة القدس،</w:t>
      </w:r>
      <w:r w:rsidR="00050389" w:rsidRPr="00CA2483">
        <w:rPr>
          <w:rFonts w:cs="Simplified Arabic" w:hint="cs"/>
          <w:sz w:val="28"/>
          <w:szCs w:val="28"/>
          <w:rtl/>
        </w:rPr>
        <w:t xml:space="preserve"> </w:t>
      </w:r>
      <w:r w:rsidR="00C168A2" w:rsidRPr="00CA2483">
        <w:rPr>
          <w:rFonts w:cs="Simplified Arabic" w:hint="cs"/>
          <w:sz w:val="28"/>
          <w:szCs w:val="28"/>
          <w:rtl/>
        </w:rPr>
        <w:t>و</w:t>
      </w:r>
      <w:r w:rsidR="00C168A2" w:rsidRPr="00CA2483">
        <w:rPr>
          <w:rFonts w:cs="Simplified Arabic"/>
          <w:sz w:val="28"/>
          <w:szCs w:val="28"/>
          <w:rtl/>
        </w:rPr>
        <w:t xml:space="preserve">السلطة الوطنية الفلسطينية: دراسات في التجربة والأداء </w:t>
      </w:r>
      <w:r w:rsidR="00C168A2" w:rsidRPr="00CA2483">
        <w:rPr>
          <w:rFonts w:cs="Simplified Arabic"/>
          <w:sz w:val="28"/>
          <w:szCs w:val="28"/>
        </w:rPr>
        <w:t>1994</w:t>
      </w:r>
      <w:r w:rsidR="00C168A2" w:rsidRPr="00CA2483">
        <w:rPr>
          <w:rFonts w:cs="Simplified Arabic"/>
          <w:sz w:val="28"/>
          <w:szCs w:val="28"/>
          <w:rtl/>
        </w:rPr>
        <w:t>-</w:t>
      </w:r>
      <w:r w:rsidR="00C168A2" w:rsidRPr="00CA2483">
        <w:rPr>
          <w:rFonts w:cs="Simplified Arabic"/>
          <w:sz w:val="28"/>
          <w:szCs w:val="28"/>
        </w:rPr>
        <w:t>2013</w:t>
      </w:r>
      <w:r w:rsidR="00C168A2" w:rsidRPr="00CA2483">
        <w:rPr>
          <w:rFonts w:cs="Simplified Arabic" w:hint="cs"/>
          <w:sz w:val="28"/>
          <w:szCs w:val="28"/>
          <w:rtl/>
        </w:rPr>
        <w:t xml:space="preserve">، </w:t>
      </w:r>
      <w:r w:rsidR="00931139" w:rsidRPr="00CA2483">
        <w:rPr>
          <w:rFonts w:cs="Simplified Arabic" w:hint="cs"/>
          <w:sz w:val="28"/>
          <w:szCs w:val="28"/>
          <w:rtl/>
          <w:lang w:bidi="ar-LB"/>
        </w:rPr>
        <w:t>وسلسلة كتب أولست إنساناً</w:t>
      </w:r>
      <w:r w:rsidR="00827496" w:rsidRPr="00CA2483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931139" w:rsidRPr="00CA2483">
        <w:rPr>
          <w:rFonts w:cs="Simplified Arabic" w:hint="cs"/>
          <w:sz w:val="28"/>
          <w:szCs w:val="28"/>
          <w:rtl/>
          <w:lang w:bidi="ar-LB"/>
        </w:rPr>
        <w:t>(</w:t>
      </w:r>
      <w:r w:rsidR="002F29FF" w:rsidRPr="00CA2483">
        <w:rPr>
          <w:rFonts w:cs="Simplified Arabic"/>
          <w:sz w:val="28"/>
          <w:szCs w:val="28"/>
          <w:lang w:bidi="ar-LB"/>
        </w:rPr>
        <w:t>1</w:t>
      </w:r>
      <w:r w:rsidR="00C84845" w:rsidRPr="00CA2483">
        <w:rPr>
          <w:rFonts w:cs="Simplified Arabic"/>
          <w:sz w:val="28"/>
          <w:szCs w:val="28"/>
          <w:lang w:bidi="ar-LB"/>
        </w:rPr>
        <w:t>3</w:t>
      </w:r>
      <w:r w:rsidR="002F29FF" w:rsidRPr="00CA2483">
        <w:rPr>
          <w:rFonts w:cs="Simplified Arabic" w:hint="cs"/>
          <w:sz w:val="28"/>
          <w:szCs w:val="28"/>
          <w:rtl/>
          <w:lang w:bidi="ar-LB"/>
        </w:rPr>
        <w:t xml:space="preserve"> كتاباً</w:t>
      </w:r>
      <w:r w:rsidR="00931139" w:rsidRPr="00CA2483">
        <w:rPr>
          <w:rFonts w:cs="Simplified Arabic" w:hint="cs"/>
          <w:sz w:val="28"/>
          <w:szCs w:val="28"/>
          <w:rtl/>
          <w:lang w:bidi="ar-LB"/>
        </w:rPr>
        <w:t>)، وسلسلة كتب تقرير معلومات</w:t>
      </w:r>
      <w:r w:rsidR="00AE7577" w:rsidRPr="00CA2483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931139" w:rsidRPr="00CA2483">
        <w:rPr>
          <w:rFonts w:cs="Simplified Arabic" w:hint="cs"/>
          <w:sz w:val="28"/>
          <w:szCs w:val="28"/>
          <w:rtl/>
          <w:lang w:bidi="ar-LB"/>
        </w:rPr>
        <w:t>(</w:t>
      </w:r>
      <w:r w:rsidR="002F29FF" w:rsidRPr="00CA2483">
        <w:rPr>
          <w:rFonts w:cs="Simplified Arabic"/>
          <w:sz w:val="28"/>
          <w:szCs w:val="28"/>
          <w:lang w:bidi="ar-LB"/>
        </w:rPr>
        <w:t>2</w:t>
      </w:r>
      <w:r w:rsidR="00C84845" w:rsidRPr="00CA2483">
        <w:rPr>
          <w:rFonts w:cs="Simplified Arabic"/>
          <w:sz w:val="28"/>
          <w:szCs w:val="28"/>
          <w:lang w:bidi="ar-LB"/>
        </w:rPr>
        <w:t>9</w:t>
      </w:r>
      <w:r w:rsidR="002F29FF" w:rsidRPr="00CA2483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931139" w:rsidRPr="00CA2483">
        <w:rPr>
          <w:rFonts w:cs="Simplified Arabic" w:hint="cs"/>
          <w:sz w:val="28"/>
          <w:szCs w:val="28"/>
          <w:rtl/>
          <w:lang w:bidi="ar-LB"/>
        </w:rPr>
        <w:t>كتاباً)، و</w:t>
      </w:r>
      <w:r w:rsidR="00A730A2" w:rsidRPr="00CA2483">
        <w:rPr>
          <w:rFonts w:cs="Simplified Arabic"/>
          <w:sz w:val="28"/>
          <w:szCs w:val="28"/>
        </w:rPr>
        <w:t>American Foreign Policy &amp; the Muslim World</w:t>
      </w:r>
      <w:r w:rsidR="00A730A2" w:rsidRPr="00CA2483">
        <w:rPr>
          <w:rFonts w:cs="Simplified Arabic" w:hint="cs"/>
          <w:sz w:val="28"/>
          <w:szCs w:val="28"/>
          <w:rtl/>
        </w:rPr>
        <w:t>.</w:t>
      </w:r>
      <w:r w:rsidR="00430873" w:rsidRPr="00CA2483">
        <w:rPr>
          <w:rFonts w:cs="Simplified Arabic" w:hint="cs"/>
          <w:sz w:val="28"/>
          <w:szCs w:val="28"/>
          <w:rtl/>
        </w:rPr>
        <w:t xml:space="preserve"> </w:t>
      </w:r>
      <w:r w:rsidR="005C04A6" w:rsidRPr="00CA2483">
        <w:rPr>
          <w:rFonts w:ascii="Simplified Arabic" w:hAnsi="Simplified Arabic" w:cs="Simplified Arabic"/>
          <w:sz w:val="28"/>
          <w:szCs w:val="28"/>
          <w:rtl/>
        </w:rPr>
        <w:t>محرر التقدير الاستراتيجي</w:t>
      </w:r>
      <w:r w:rsidR="005C04A6" w:rsidRPr="00CA2483">
        <w:rPr>
          <w:rFonts w:cs="Simplified Arabic" w:hint="cs"/>
          <w:sz w:val="28"/>
          <w:szCs w:val="28"/>
          <w:rtl/>
        </w:rPr>
        <w:t xml:space="preserve"> </w:t>
      </w:r>
      <w:r w:rsidR="001F1C6F" w:rsidRPr="00CA2483">
        <w:rPr>
          <w:rFonts w:cs="Simplified Arabic" w:hint="cs"/>
          <w:sz w:val="28"/>
          <w:szCs w:val="28"/>
          <w:rtl/>
        </w:rPr>
        <w:t>ل</w:t>
      </w:r>
      <w:r w:rsidR="005C04A6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مركز الزيتونة</w:t>
      </w:r>
      <w:r w:rsidR="00C84845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(</w:t>
      </w:r>
      <w:r w:rsidR="00AE7577" w:rsidRPr="00CA2483">
        <w:rPr>
          <w:rStyle w:val="Strong"/>
          <w:rFonts w:cs="Simplified Arabic"/>
          <w:b w:val="0"/>
          <w:bCs w:val="0"/>
          <w:sz w:val="28"/>
          <w:szCs w:val="28"/>
        </w:rPr>
        <w:t>99</w:t>
      </w:r>
      <w:r w:rsidR="00C84845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 xml:space="preserve"> </w:t>
      </w:r>
      <w:r w:rsidR="00C84845" w:rsidRPr="00CA2483">
        <w:rPr>
          <w:rStyle w:val="Strong"/>
          <w:rFonts w:cs="Simplified Arabic" w:hint="cs"/>
          <w:b w:val="0"/>
          <w:bCs w:val="0"/>
          <w:sz w:val="28"/>
          <w:szCs w:val="28"/>
          <w:rtl/>
          <w:lang w:bidi="ar-LB"/>
        </w:rPr>
        <w:t>تقديراً)</w:t>
      </w:r>
      <w:r w:rsidR="001F1C6F" w:rsidRPr="00CA2483">
        <w:rPr>
          <w:rStyle w:val="Strong"/>
          <w:rFonts w:cs="Simplified Arabic" w:hint="cs"/>
          <w:b w:val="0"/>
          <w:bCs w:val="0"/>
          <w:sz w:val="28"/>
          <w:szCs w:val="28"/>
          <w:rtl/>
        </w:rPr>
        <w:t>.</w:t>
      </w:r>
      <w:r w:rsidR="00A730A2" w:rsidRPr="00CA2483">
        <w:rPr>
          <w:rFonts w:cs="Simplified Arabic" w:hint="cs"/>
          <w:sz w:val="28"/>
          <w:szCs w:val="28"/>
          <w:rtl/>
        </w:rPr>
        <w:t xml:space="preserve"> نشرت له الكثير من الدراسات المحكّمة والمقالات، وشارك في عشرات المؤتمرات المحلية والدولية.</w:t>
      </w:r>
    </w:p>
    <w:p w14:paraId="78D43C53" w14:textId="600E7E85" w:rsidR="001C6CC8" w:rsidRPr="001C6CC8" w:rsidRDefault="001C6CC8" w:rsidP="001C6CC8">
      <w:pPr>
        <w:tabs>
          <w:tab w:val="left" w:pos="33"/>
          <w:tab w:val="left" w:pos="2433"/>
        </w:tabs>
        <w:bidi/>
        <w:spacing w:before="120" w:after="120"/>
        <w:ind w:left="34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قام بالتدريب في مجالات عديدة خصوصاً في المجالات البحثية والاستشرافية. ومن أبرز العناوين التي درب فيها: دورة "</w:t>
      </w:r>
      <w:r w:rsidRPr="001C6CC8">
        <w:rPr>
          <w:rFonts w:cs="Simplified Arabic" w:hint="cs"/>
          <w:sz w:val="28"/>
          <w:szCs w:val="28"/>
          <w:rtl/>
        </w:rPr>
        <w:t>التشكل السياسي للعالم المعاصر واتجاهاته المستقبلية</w:t>
      </w:r>
      <w:r>
        <w:rPr>
          <w:rFonts w:cs="Simplified Arabic" w:hint="cs"/>
          <w:sz w:val="28"/>
          <w:szCs w:val="28"/>
          <w:rtl/>
        </w:rPr>
        <w:t>"، و</w:t>
      </w:r>
      <w:r w:rsidRPr="001C6CC8">
        <w:rPr>
          <w:rFonts w:cs="Simplified Arabic" w:hint="cs"/>
          <w:sz w:val="28"/>
          <w:szCs w:val="28"/>
          <w:rtl/>
        </w:rPr>
        <w:t>فن التحليل السياسي</w:t>
      </w:r>
      <w:r>
        <w:rPr>
          <w:rFonts w:cs="Simplified Arabic" w:hint="cs"/>
          <w:sz w:val="28"/>
          <w:szCs w:val="28"/>
          <w:rtl/>
        </w:rPr>
        <w:t>، و</w:t>
      </w:r>
      <w:bookmarkStart w:id="0" w:name="_GoBack"/>
      <w:bookmarkEnd w:id="0"/>
      <w:r w:rsidRPr="001C6CC8">
        <w:rPr>
          <w:rFonts w:cs="Simplified Arabic" w:hint="cs"/>
          <w:sz w:val="28"/>
          <w:szCs w:val="28"/>
          <w:rtl/>
        </w:rPr>
        <w:t>فن تقدير الموقف</w:t>
      </w:r>
      <w:r>
        <w:rPr>
          <w:rFonts w:cs="Simplified Arabic" w:hint="cs"/>
          <w:sz w:val="28"/>
          <w:szCs w:val="28"/>
          <w:rtl/>
        </w:rPr>
        <w:t>.</w:t>
      </w:r>
    </w:p>
    <w:p w14:paraId="09E31E95" w14:textId="77777777" w:rsidR="00191D0D" w:rsidRPr="005C04A6" w:rsidRDefault="00191D0D">
      <w:pPr>
        <w:rPr>
          <w:rFonts w:cs="Simplified Arabic"/>
          <w:sz w:val="26"/>
          <w:szCs w:val="26"/>
          <w:lang w:bidi="ar-LB"/>
        </w:rPr>
      </w:pPr>
    </w:p>
    <w:sectPr w:rsidR="00191D0D" w:rsidRPr="005C0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347"/>
    <w:multiLevelType w:val="hybridMultilevel"/>
    <w:tmpl w:val="ECD0794E"/>
    <w:lvl w:ilvl="0" w:tplc="EB14DCF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912898"/>
    <w:multiLevelType w:val="hybridMultilevel"/>
    <w:tmpl w:val="875C6F30"/>
    <w:lvl w:ilvl="0" w:tplc="16C00A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EB1415C8">
      <w:start w:val="11"/>
      <w:numFmt w:val="decimal"/>
      <w:lvlText w:val="%4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A1B1350"/>
    <w:multiLevelType w:val="hybridMultilevel"/>
    <w:tmpl w:val="109EE9D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16F08C9"/>
    <w:multiLevelType w:val="hybridMultilevel"/>
    <w:tmpl w:val="81E465E4"/>
    <w:lvl w:ilvl="0" w:tplc="5A3054B6">
      <w:start w:val="1"/>
      <w:numFmt w:val="decimal"/>
      <w:lvlText w:val="%1."/>
      <w:lvlJc w:val="left"/>
      <w:pPr>
        <w:tabs>
          <w:tab w:val="num" w:pos="18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A2"/>
    <w:rsid w:val="000162E3"/>
    <w:rsid w:val="00050389"/>
    <w:rsid w:val="0006154C"/>
    <w:rsid w:val="00191D0D"/>
    <w:rsid w:val="00197DC2"/>
    <w:rsid w:val="001C6CC8"/>
    <w:rsid w:val="001F1C6F"/>
    <w:rsid w:val="002725A7"/>
    <w:rsid w:val="002A5DAB"/>
    <w:rsid w:val="002C7EE7"/>
    <w:rsid w:val="002F29FF"/>
    <w:rsid w:val="00376213"/>
    <w:rsid w:val="00430873"/>
    <w:rsid w:val="004677E7"/>
    <w:rsid w:val="004E06A5"/>
    <w:rsid w:val="005343EB"/>
    <w:rsid w:val="005C04A6"/>
    <w:rsid w:val="006F2AB9"/>
    <w:rsid w:val="007D3497"/>
    <w:rsid w:val="00801D54"/>
    <w:rsid w:val="00822E03"/>
    <w:rsid w:val="00827496"/>
    <w:rsid w:val="008C27B8"/>
    <w:rsid w:val="00931139"/>
    <w:rsid w:val="009F602A"/>
    <w:rsid w:val="00A730A2"/>
    <w:rsid w:val="00A73E54"/>
    <w:rsid w:val="00AE7577"/>
    <w:rsid w:val="00B51A2C"/>
    <w:rsid w:val="00B610F7"/>
    <w:rsid w:val="00B7189C"/>
    <w:rsid w:val="00BB04F6"/>
    <w:rsid w:val="00C168A2"/>
    <w:rsid w:val="00C84845"/>
    <w:rsid w:val="00CA2483"/>
    <w:rsid w:val="00D30B0D"/>
    <w:rsid w:val="00DF1557"/>
    <w:rsid w:val="00EF51F4"/>
    <w:rsid w:val="00F745FB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9F65"/>
  <w15:docId w15:val="{D7CB3032-2D99-4990-9D0E-F3EE51FC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0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D54"/>
    <w:pPr>
      <w:keepNext/>
      <w:widowControl w:val="0"/>
      <w:bidi/>
      <w:outlineLvl w:val="0"/>
    </w:pPr>
    <w:rPr>
      <w:rFonts w:cs="Traditional Arabic"/>
      <w:snapToGrid w:val="0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30A2"/>
    <w:rPr>
      <w:b/>
      <w:bCs/>
    </w:rPr>
  </w:style>
  <w:style w:type="paragraph" w:styleId="Title">
    <w:name w:val="Title"/>
    <w:basedOn w:val="Normal"/>
    <w:qFormat/>
    <w:rsid w:val="00B610F7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01D54"/>
    <w:rPr>
      <w:rFonts w:cs="Traditional Arabic"/>
      <w:snapToGrid w:val="0"/>
      <w:sz w:val="32"/>
      <w:szCs w:val="36"/>
    </w:rPr>
  </w:style>
  <w:style w:type="character" w:styleId="CommentReference">
    <w:name w:val="annotation reference"/>
    <w:rsid w:val="00801D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1D54"/>
    <w:pPr>
      <w:widowControl w:val="0"/>
      <w:bidi/>
    </w:pPr>
    <w:rPr>
      <w:rFonts w:cs="Traditional Arabic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1D54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semiHidden/>
    <w:unhideWhenUsed/>
    <w:rsid w:val="00801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</vt:lpstr>
    </vt:vector>
  </TitlesOfParts>
  <Company>BA2DOUNISS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</dc:title>
  <dc:creator>MoSa</dc:creator>
  <cp:lastModifiedBy>Wael Saad</cp:lastModifiedBy>
  <cp:revision>3</cp:revision>
  <dcterms:created xsi:type="dcterms:W3CDTF">2017-11-29T13:13:00Z</dcterms:created>
  <dcterms:modified xsi:type="dcterms:W3CDTF">2017-11-29T13:48:00Z</dcterms:modified>
</cp:coreProperties>
</file>